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rFonts w:hint="eastAsia"/>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rFonts w:hint="eastAsia"/>
          <w:sz w:val="44"/>
          <w:szCs w:val="44"/>
        </w:rPr>
      </w:pPr>
      <w:r>
        <w:rPr>
          <w:rStyle w:val="10"/>
          <w:sz w:val="44"/>
          <w:szCs w:val="44"/>
        </w:rPr>
        <w:t>提</w:t>
      </w:r>
      <w:r>
        <w:rPr>
          <w:rStyle w:val="10"/>
          <w:rFonts w:hint="eastAsia"/>
          <w:sz w:val="44"/>
          <w:szCs w:val="44"/>
        </w:rPr>
        <w:t xml:space="preserve">   </w:t>
      </w:r>
      <w:r>
        <w:rPr>
          <w:rStyle w:val="10"/>
          <w:sz w:val="44"/>
          <w:szCs w:val="44"/>
        </w:rPr>
        <w:t>案</w:t>
      </w:r>
    </w:p>
    <w:p>
      <w:pPr>
        <w:spacing w:line="320" w:lineRule="exact"/>
        <w:jc w:val="center"/>
        <w:textAlignment w:val="top"/>
        <w:rPr>
          <w:rStyle w:val="10"/>
          <w:rFonts w:hint="eastAsia" w:ascii="宋体" w:hAnsi="宋体"/>
          <w:kern w:val="0"/>
          <w:sz w:val="24"/>
        </w:rPr>
      </w:pPr>
    </w:p>
    <w:p>
      <w:pPr>
        <w:spacing w:line="320" w:lineRule="exact"/>
        <w:jc w:val="center"/>
        <w:textAlignment w:val="top"/>
        <w:rPr>
          <w:rStyle w:val="10"/>
          <w:rFonts w:hint="eastAsia" w:ascii="宋体" w:hAnsi="宋体"/>
          <w:kern w:val="0"/>
          <w:sz w:val="24"/>
        </w:rPr>
      </w:pPr>
    </w:p>
    <w:p>
      <w:pPr>
        <w:spacing w:line="760" w:lineRule="exact"/>
        <w:jc w:val="both"/>
        <w:textAlignment w:val="top"/>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0"/>
          <w:rFonts w:hint="default" w:ascii="宋体" w:hAnsi="宋体" w:eastAsia="宋体"/>
          <w:kern w:val="0"/>
          <w:sz w:val="24"/>
          <w:lang w:val="en-US" w:eastAsia="zh-CN"/>
        </w:rPr>
      </w:pPr>
      <w:r>
        <w:rPr>
          <w:rStyle w:val="10"/>
          <w:rFonts w:ascii="宋体" w:hAnsi="宋体"/>
          <w:kern w:val="0"/>
          <w:sz w:val="24"/>
        </w:rPr>
        <w:t>第十</w:t>
      </w:r>
      <w:r>
        <w:rPr>
          <w:rStyle w:val="10"/>
          <w:rFonts w:hint="eastAsia" w:ascii="宋体" w:hAnsi="宋体"/>
          <w:kern w:val="0"/>
          <w:sz w:val="24"/>
          <w:lang w:val="en-US" w:eastAsia="zh-CN"/>
        </w:rPr>
        <w:t>三</w:t>
      </w:r>
      <w:r>
        <w:rPr>
          <w:rStyle w:val="10"/>
          <w:rFonts w:ascii="宋体" w:hAnsi="宋体"/>
          <w:kern w:val="0"/>
          <w:sz w:val="24"/>
        </w:rPr>
        <w:t>届第</w:t>
      </w:r>
      <w:r>
        <w:rPr>
          <w:rStyle w:val="10"/>
          <w:rFonts w:hint="eastAsia" w:ascii="宋体" w:hAnsi="宋体"/>
          <w:kern w:val="0"/>
          <w:sz w:val="24"/>
          <w:lang w:val="en-US" w:eastAsia="zh-CN"/>
        </w:rPr>
        <w:t>一</w:t>
      </w:r>
      <w:r>
        <w:rPr>
          <w:rStyle w:val="10"/>
          <w:rFonts w:ascii="宋体" w:hAnsi="宋体"/>
          <w:kern w:val="0"/>
          <w:sz w:val="24"/>
        </w:rPr>
        <w:t>次会议　       　第</w:t>
      </w:r>
      <w:r>
        <w:rPr>
          <w:rStyle w:val="10"/>
          <w:rFonts w:hint="eastAsia" w:ascii="宋体" w:hAnsi="宋体"/>
          <w:kern w:val="0"/>
          <w:sz w:val="24"/>
          <w:lang w:val="en-US" w:eastAsia="zh-CN"/>
        </w:rPr>
        <w:t>134</w:t>
      </w:r>
      <w:r>
        <w:rPr>
          <w:rStyle w:val="10"/>
          <w:rFonts w:ascii="宋体" w:hAnsi="宋体"/>
          <w:kern w:val="0"/>
          <w:sz w:val="24"/>
        </w:rPr>
        <w:t xml:space="preserve">号　    </w:t>
      </w:r>
      <w:r>
        <w:rPr>
          <w:rStyle w:val="10"/>
          <w:rFonts w:hint="eastAsia" w:ascii="宋体" w:hAnsi="宋体"/>
          <w:kern w:val="0"/>
          <w:sz w:val="24"/>
        </w:rPr>
        <w:t xml:space="preserve">    </w:t>
      </w:r>
      <w:r>
        <w:rPr>
          <w:rStyle w:val="10"/>
          <w:rFonts w:hint="eastAsia" w:ascii="宋体" w:hAnsi="宋体"/>
          <w:kern w:val="0"/>
          <w:sz w:val="24"/>
          <w:lang w:val="en-US" w:eastAsia="zh-CN"/>
        </w:rPr>
        <w:t xml:space="preserve"> 类别：社会建设类     </w:t>
      </w:r>
    </w:p>
    <w:p>
      <w:pPr>
        <w:spacing w:line="320" w:lineRule="exact"/>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left"/>
              <w:rPr>
                <w:rStyle w:val="10"/>
                <w:rFonts w:ascii="宋体" w:hAnsi="宋体" w:cs="宋体"/>
                <w:b/>
                <w:bCs/>
                <w:kern w:val="0"/>
                <w:sz w:val="24"/>
              </w:rPr>
            </w:pPr>
            <w:r>
              <w:rPr>
                <w:rStyle w:val="10"/>
                <w:rFonts w:hint="eastAsia" w:ascii="宋体" w:hAnsi="宋体" w:cs="宋体"/>
                <w:b/>
                <w:bCs/>
                <w:kern w:val="0"/>
                <w:sz w:val="24"/>
              </w:rPr>
              <w:t>关于统筹推进社会保障民生工程确保城乡居民病有所医老有所养的建议</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lang w:eastAsia="zh-CN"/>
              </w:rPr>
              <w:t>主办：</w:t>
            </w:r>
            <w:r>
              <w:rPr>
                <w:rStyle w:val="10"/>
                <w:rFonts w:hint="eastAsia" w:ascii="宋体" w:hAnsi="宋体"/>
                <w:kern w:val="0"/>
                <w:sz w:val="24"/>
                <w:lang w:val="en-US" w:eastAsia="zh-CN"/>
              </w:rPr>
              <w:t>州人社局 会办：州医保局、州财政局、州税务局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ascii="宋体" w:hAnsi="宋体" w:eastAsia="黑体" w:cs="宋体"/>
                <w:b/>
                <w:bCs/>
                <w:kern w:val="0"/>
                <w:sz w:val="24"/>
              </w:rPr>
              <w:t> </w:t>
            </w:r>
            <w:r>
              <w:rPr>
                <w:rStyle w:val="10"/>
                <w:rFonts w:ascii="黑体" w:hAnsi="宋体" w:eastAsia="黑体" w:cs="宋体"/>
                <w:b/>
                <w:bCs/>
                <w:kern w:val="0"/>
                <w:sz w:val="24"/>
              </w:rPr>
              <w:t>案人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highlight w:val="none"/>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kern w:val="0"/>
                <w:sz w:val="24"/>
              </w:rPr>
            </w:pPr>
            <w:r>
              <w:rPr>
                <w:rStyle w:val="10"/>
                <w:rFonts w:hint="eastAsia" w:ascii="宋体" w:hAnsi="宋体"/>
                <w:kern w:val="0"/>
                <w:sz w:val="24"/>
              </w:rPr>
              <w:t>赖家斌</w:t>
            </w:r>
          </w:p>
          <w:p>
            <w:pPr>
              <w:jc w:val="left"/>
              <w:rPr>
                <w:rStyle w:val="10"/>
                <w:rFonts w:hint="eastAsia" w:ascii="宋体" w:hAnsi="宋体"/>
                <w:kern w:val="0"/>
                <w:sz w:val="24"/>
              </w:rPr>
            </w:pPr>
            <w:r>
              <w:rPr>
                <w:rStyle w:val="10"/>
                <w:rFonts w:hint="eastAsia" w:ascii="宋体" w:hAnsi="宋体"/>
                <w:kern w:val="0"/>
                <w:sz w:val="24"/>
              </w:rPr>
              <w:t>孟荣林</w:t>
            </w:r>
          </w:p>
          <w:p>
            <w:pPr>
              <w:jc w:val="left"/>
              <w:rPr>
                <w:rStyle w:val="10"/>
                <w:rFonts w:hint="eastAsia" w:ascii="宋体" w:hAnsi="宋体"/>
                <w:kern w:val="0"/>
                <w:sz w:val="24"/>
              </w:rPr>
            </w:pPr>
            <w:r>
              <w:rPr>
                <w:rStyle w:val="10"/>
                <w:rFonts w:hint="eastAsia" w:ascii="宋体" w:hAnsi="宋体"/>
                <w:kern w:val="0"/>
                <w:sz w:val="24"/>
              </w:rPr>
              <w:t>赵灵芝</w:t>
            </w:r>
          </w:p>
          <w:p>
            <w:pPr>
              <w:jc w:val="left"/>
              <w:rPr>
                <w:rStyle w:val="10"/>
                <w:rFonts w:hint="eastAsia" w:ascii="宋体" w:hAnsi="宋体"/>
                <w:kern w:val="0"/>
                <w:sz w:val="24"/>
              </w:rPr>
            </w:pPr>
            <w:r>
              <w:rPr>
                <w:rStyle w:val="10"/>
                <w:rFonts w:hint="eastAsia" w:ascii="宋体" w:hAnsi="宋体"/>
                <w:kern w:val="0"/>
                <w:sz w:val="24"/>
              </w:rPr>
              <w:t>梁仲权</w:t>
            </w:r>
          </w:p>
          <w:p>
            <w:pPr>
              <w:jc w:val="left"/>
              <w:rPr>
                <w:rStyle w:val="10"/>
                <w:rFonts w:hint="eastAsia" w:ascii="宋体" w:hAnsi="宋体"/>
                <w:kern w:val="0"/>
                <w:sz w:val="24"/>
              </w:rPr>
            </w:pPr>
            <w:r>
              <w:rPr>
                <w:rStyle w:val="10"/>
                <w:rFonts w:hint="eastAsia" w:ascii="宋体" w:hAnsi="宋体"/>
                <w:kern w:val="0"/>
                <w:sz w:val="24"/>
              </w:rPr>
              <w:t>杨唤英</w:t>
            </w:r>
          </w:p>
          <w:p>
            <w:pPr>
              <w:jc w:val="left"/>
              <w:rPr>
                <w:rStyle w:val="10"/>
                <w:rFonts w:hint="eastAsia" w:ascii="宋体" w:hAnsi="宋体"/>
                <w:kern w:val="0"/>
                <w:sz w:val="24"/>
              </w:rPr>
            </w:pPr>
            <w:r>
              <w:rPr>
                <w:rStyle w:val="10"/>
                <w:rFonts w:hint="eastAsia" w:ascii="宋体" w:hAnsi="宋体"/>
                <w:kern w:val="0"/>
                <w:sz w:val="24"/>
              </w:rPr>
              <w:t>石佩芝</w:t>
            </w:r>
          </w:p>
          <w:p>
            <w:pPr>
              <w:jc w:val="left"/>
              <w:rPr>
                <w:rStyle w:val="10"/>
                <w:rFonts w:hint="eastAsia" w:ascii="宋体" w:hAnsi="宋体"/>
                <w:kern w:val="0"/>
                <w:sz w:val="24"/>
              </w:rPr>
            </w:pPr>
            <w:r>
              <w:rPr>
                <w:rStyle w:val="10"/>
                <w:rFonts w:hint="eastAsia" w:ascii="宋体" w:hAnsi="宋体"/>
                <w:kern w:val="0"/>
                <w:sz w:val="24"/>
              </w:rPr>
              <w:t>杨光乾</w:t>
            </w:r>
          </w:p>
          <w:p>
            <w:pPr>
              <w:jc w:val="left"/>
              <w:rPr>
                <w:rStyle w:val="10"/>
                <w:rFonts w:hint="eastAsia" w:ascii="宋体" w:hAnsi="宋体"/>
                <w:kern w:val="0"/>
                <w:sz w:val="24"/>
              </w:rPr>
            </w:pPr>
            <w:r>
              <w:rPr>
                <w:rStyle w:val="10"/>
                <w:rFonts w:hint="eastAsia" w:ascii="宋体" w:hAnsi="宋体"/>
                <w:kern w:val="0"/>
                <w:sz w:val="24"/>
              </w:rPr>
              <w:t>吴帆</w:t>
            </w:r>
          </w:p>
          <w:p>
            <w:pPr>
              <w:jc w:val="left"/>
              <w:rPr>
                <w:rStyle w:val="10"/>
                <w:rFonts w:hint="eastAsia" w:ascii="宋体" w:hAnsi="宋体"/>
                <w:kern w:val="0"/>
                <w:sz w:val="24"/>
              </w:rPr>
            </w:pPr>
            <w:r>
              <w:rPr>
                <w:rStyle w:val="10"/>
                <w:rFonts w:hint="eastAsia" w:ascii="宋体" w:hAnsi="宋体"/>
                <w:kern w:val="0"/>
                <w:sz w:val="24"/>
              </w:rPr>
              <w:t>蒙亚妮</w:t>
            </w:r>
          </w:p>
          <w:p>
            <w:pPr>
              <w:jc w:val="left"/>
              <w:rPr>
                <w:rStyle w:val="10"/>
                <w:rFonts w:hint="eastAsia" w:ascii="宋体" w:hAnsi="宋体"/>
                <w:kern w:val="0"/>
                <w:sz w:val="24"/>
              </w:rPr>
            </w:pPr>
            <w:r>
              <w:rPr>
                <w:rStyle w:val="10"/>
                <w:rFonts w:hint="eastAsia" w:ascii="宋体" w:hAnsi="宋体"/>
                <w:kern w:val="0"/>
                <w:sz w:val="24"/>
              </w:rPr>
              <w:t>柳海贞</w:t>
            </w:r>
          </w:p>
          <w:p>
            <w:pPr>
              <w:jc w:val="left"/>
              <w:rPr>
                <w:rStyle w:val="10"/>
                <w:rFonts w:hint="eastAsia" w:ascii="宋体" w:hAnsi="宋体"/>
                <w:kern w:val="0"/>
                <w:sz w:val="24"/>
              </w:rPr>
            </w:pPr>
            <w:r>
              <w:rPr>
                <w:rStyle w:val="10"/>
                <w:rFonts w:hint="eastAsia" w:ascii="宋体" w:hAnsi="宋体"/>
                <w:kern w:val="0"/>
                <w:sz w:val="24"/>
              </w:rPr>
              <w:t>谢梦玲</w:t>
            </w:r>
          </w:p>
          <w:p>
            <w:pPr>
              <w:jc w:val="left"/>
              <w:rPr>
                <w:rStyle w:val="10"/>
                <w:rFonts w:hint="eastAsia" w:ascii="宋体" w:hAnsi="宋体"/>
                <w:kern w:val="0"/>
                <w:sz w:val="24"/>
              </w:rPr>
            </w:pPr>
            <w:r>
              <w:rPr>
                <w:rStyle w:val="10"/>
                <w:rFonts w:hint="eastAsia" w:ascii="宋体" w:hAnsi="宋体"/>
                <w:kern w:val="0"/>
                <w:sz w:val="24"/>
              </w:rPr>
              <w:t>王礼</w:t>
            </w:r>
          </w:p>
          <w:p>
            <w:pPr>
              <w:jc w:val="left"/>
              <w:rPr>
                <w:rStyle w:val="10"/>
                <w:rFonts w:hint="eastAsia" w:ascii="宋体" w:hAnsi="宋体"/>
                <w:kern w:val="0"/>
                <w:sz w:val="24"/>
              </w:rPr>
            </w:pPr>
            <w:r>
              <w:rPr>
                <w:rStyle w:val="10"/>
                <w:rFonts w:hint="eastAsia" w:ascii="宋体" w:hAnsi="宋体"/>
                <w:kern w:val="0"/>
                <w:sz w:val="24"/>
              </w:rPr>
              <w:t>赖家斌</w:t>
            </w:r>
          </w:p>
          <w:p>
            <w:pPr>
              <w:jc w:val="left"/>
              <w:rPr>
                <w:rStyle w:val="10"/>
                <w:rFonts w:hint="eastAsia" w:ascii="宋体" w:hAnsi="宋体"/>
                <w:kern w:val="0"/>
                <w:sz w:val="24"/>
              </w:rPr>
            </w:pPr>
            <w:r>
              <w:rPr>
                <w:rStyle w:val="10"/>
                <w:rFonts w:hint="eastAsia" w:ascii="宋体" w:hAnsi="宋体"/>
                <w:kern w:val="0"/>
                <w:sz w:val="24"/>
              </w:rPr>
              <w:t>石贤</w:t>
            </w:r>
          </w:p>
          <w:p>
            <w:pPr>
              <w:jc w:val="left"/>
              <w:rPr>
                <w:rStyle w:val="10"/>
                <w:rFonts w:ascii="宋体" w:hAnsi="宋体"/>
                <w:kern w:val="0"/>
                <w:sz w:val="24"/>
              </w:rPr>
            </w:pPr>
            <w:r>
              <w:rPr>
                <w:rStyle w:val="10"/>
                <w:rFonts w:hint="eastAsia" w:ascii="宋体" w:hAnsi="宋体"/>
                <w:kern w:val="0"/>
                <w:sz w:val="24"/>
              </w:rPr>
              <w:t>申泰云</w:t>
            </w:r>
          </w:p>
        </w:tc>
        <w:tc>
          <w:tcPr>
            <w:tcW w:w="3872" w:type="dxa"/>
            <w:vAlign w:val="center"/>
          </w:tcPr>
          <w:p>
            <w:pPr>
              <w:widowControl/>
              <w:jc w:val="left"/>
              <w:rPr>
                <w:rStyle w:val="10"/>
                <w:rFonts w:hint="eastAsia" w:ascii="宋体" w:hAnsi="宋体" w:eastAsia="宋体"/>
                <w:kern w:val="0"/>
                <w:sz w:val="24"/>
                <w:lang w:val="en-US" w:eastAsia="zh-CN"/>
              </w:rPr>
            </w:pPr>
            <w:r>
              <w:rPr>
                <w:rStyle w:val="10"/>
                <w:rFonts w:hint="eastAsia" w:ascii="宋体" w:hAnsi="宋体" w:eastAsia="宋体"/>
                <w:kern w:val="0"/>
                <w:sz w:val="24"/>
                <w:lang w:val="en-US" w:eastAsia="zh-CN"/>
              </w:rPr>
              <w:t>国家税务总局从江县税务局</w:t>
            </w:r>
          </w:p>
        </w:tc>
        <w:tc>
          <w:tcPr>
            <w:tcW w:w="1440" w:type="dxa"/>
            <w:vAlign w:val="center"/>
          </w:tcPr>
          <w:p>
            <w:pPr>
              <w:widowControl/>
              <w:jc w:val="left"/>
              <w:rPr>
                <w:rStyle w:val="10"/>
                <w:rFonts w:hint="default" w:ascii="宋体" w:hAnsi="宋体" w:eastAsia="宋体"/>
                <w:kern w:val="0"/>
                <w:sz w:val="24"/>
                <w:lang w:val="en-US" w:eastAsia="zh-CN"/>
              </w:rPr>
            </w:pPr>
            <w:r>
              <w:rPr>
                <w:rFonts w:hint="default" w:ascii="Times New Roman" w:hAnsi="Times New Roman" w:cs="Times New Roman"/>
                <w:kern w:val="0"/>
                <w:sz w:val="24"/>
              </w:rPr>
              <w:t xml:space="preserve"> </w:t>
            </w:r>
            <w:r>
              <w:rPr>
                <w:rFonts w:hint="eastAsia" w:cs="Times New Roman"/>
                <w:kern w:val="0"/>
                <w:sz w:val="24"/>
                <w:lang w:val="en-US" w:eastAsia="zh-CN"/>
              </w:rPr>
              <w:t>557400</w:t>
            </w:r>
          </w:p>
        </w:tc>
        <w:tc>
          <w:tcPr>
            <w:tcW w:w="1485" w:type="dxa"/>
            <w:vAlign w:val="center"/>
          </w:tcPr>
          <w:p>
            <w:pPr>
              <w:widowControl/>
              <w:jc w:val="left"/>
              <w:rPr>
                <w:rStyle w:val="10"/>
                <w:rFonts w:hint="default" w:ascii="宋体" w:hAnsi="宋体" w:eastAsia="宋体"/>
                <w:kern w:val="0"/>
                <w:sz w:val="24"/>
                <w:lang w:val="en-US" w:eastAsia="zh-CN"/>
              </w:rPr>
            </w:pPr>
            <w:r>
              <w:rPr>
                <w:rStyle w:val="10"/>
                <w:rFonts w:hint="default" w:ascii="宋体" w:hAnsi="宋体" w:eastAsia="宋体"/>
                <w:kern w:val="0"/>
                <w:sz w:val="24"/>
                <w:lang w:val="en-US" w:eastAsia="zh-CN"/>
              </w:rPr>
              <w:t>13368651122</w:t>
            </w:r>
          </w:p>
        </w:tc>
      </w:tr>
      <w:tr>
        <w:tblPrEx>
          <w:tblCellMar>
            <w:top w:w="0" w:type="dxa"/>
            <w:left w:w="15" w:type="dxa"/>
            <w:bottom w:w="0" w:type="dxa"/>
            <w:right w:w="15" w:type="dxa"/>
          </w:tblCellMar>
        </w:tblPrEx>
        <w:tc>
          <w:tcPr>
            <w:tcW w:w="1753" w:type="dxa"/>
            <w:vAlign w:val="center"/>
          </w:tcPr>
          <w:p>
            <w:pPr>
              <w:jc w:val="left"/>
              <w:rPr>
                <w:rStyle w:val="10"/>
                <w:rFonts w:hint="eastAsia" w:ascii="宋体" w:hAnsi="宋体" w:eastAsia="宋体"/>
                <w:kern w:val="0"/>
                <w:sz w:val="24"/>
                <w:lang w:eastAsia="zh-CN"/>
              </w:rPr>
            </w:pPr>
            <w:r>
              <w:rPr>
                <w:rStyle w:val="10"/>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0"/>
                <w:rFonts w:hint="eastAsia" w:ascii="宋体" w:hAnsi="宋体"/>
                <w:kern w:val="0"/>
                <w:sz w:val="24"/>
                <w:lang w:val="en-US" w:eastAsia="zh-CN"/>
              </w:rPr>
            </w:pPr>
            <w:r>
              <w:rPr>
                <w:rStyle w:val="10"/>
                <w:rFonts w:hint="eastAsia" w:ascii="宋体" w:hAnsi="宋体"/>
                <w:kern w:val="0"/>
                <w:sz w:val="24"/>
                <w:lang w:eastAsia="zh-CN"/>
              </w:rPr>
              <w:t>州委办秘书五科：</w:t>
            </w:r>
            <w:r>
              <w:rPr>
                <w:rStyle w:val="10"/>
                <w:rFonts w:hint="eastAsia" w:ascii="宋体" w:hAnsi="宋体"/>
                <w:kern w:val="0"/>
                <w:sz w:val="24"/>
                <w:lang w:val="en-US" w:eastAsia="zh-CN"/>
              </w:rPr>
              <w:t>8270060；</w:t>
            </w:r>
            <w:r>
              <w:rPr>
                <w:rStyle w:val="10"/>
                <w:rFonts w:hint="eastAsia" w:ascii="宋体" w:hAnsi="宋体"/>
                <w:kern w:val="0"/>
                <w:sz w:val="24"/>
                <w:lang w:eastAsia="zh-CN"/>
              </w:rPr>
              <w:t>州政府办建议提案科：</w:t>
            </w:r>
            <w:r>
              <w:rPr>
                <w:rStyle w:val="10"/>
                <w:rFonts w:hint="eastAsia" w:ascii="宋体" w:hAnsi="宋体"/>
                <w:kern w:val="0"/>
                <w:sz w:val="24"/>
                <w:lang w:val="en-US" w:eastAsia="zh-CN"/>
              </w:rPr>
              <w:t>8260016；</w:t>
            </w:r>
          </w:p>
          <w:p>
            <w:pPr>
              <w:jc w:val="left"/>
              <w:rPr>
                <w:rStyle w:val="10"/>
                <w:rFonts w:hint="default" w:ascii="宋体" w:hAnsi="宋体"/>
                <w:kern w:val="0"/>
                <w:sz w:val="24"/>
                <w:lang w:val="en-US"/>
              </w:rPr>
            </w:pPr>
            <w:r>
              <w:rPr>
                <w:rStyle w:val="10"/>
                <w:rFonts w:hint="eastAsia" w:ascii="宋体" w:hAnsi="宋体"/>
                <w:kern w:val="0"/>
                <w:sz w:val="24"/>
                <w:lang w:eastAsia="zh-CN"/>
              </w:rPr>
              <w:t>州政协提案委：</w:t>
            </w:r>
            <w:r>
              <w:rPr>
                <w:rStyle w:val="10"/>
                <w:rFonts w:hint="eastAsia" w:ascii="宋体" w:hAnsi="宋体"/>
                <w:kern w:val="0"/>
                <w:sz w:val="24"/>
                <w:lang w:val="en-US" w:eastAsia="zh-CN"/>
              </w:rPr>
              <w:t>8428866</w:t>
            </w:r>
            <w:r>
              <w:rPr>
                <w:rStyle w:val="10"/>
                <w:rFonts w:hint="eastAsia" w:ascii="宋体" w:hAnsi="宋体"/>
                <w:kern w:val="0"/>
                <w:sz w:val="24"/>
                <w:lang w:eastAsia="zh-CN"/>
              </w:rPr>
              <w:t>。</w:t>
            </w:r>
          </w:p>
        </w:tc>
      </w:tr>
    </w:tbl>
    <w:p>
      <w:pPr>
        <w:jc w:val="left"/>
        <w:rPr>
          <w:rStyle w:val="10"/>
          <w:rFonts w:ascii="宋体" w:hAnsi="宋体"/>
          <w:kern w:val="0"/>
          <w:sz w:val="24"/>
        </w:rPr>
      </w:pPr>
      <w:r>
        <w:rPr>
          <w:rStyle w:val="10"/>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0"/>
          <w:rFonts w:hint="eastAsia" w:ascii="仿宋_GB2312" w:hAnsi="宋体" w:eastAsia="仿宋_GB2312"/>
          <w:kern w:val="0"/>
          <w:sz w:val="32"/>
          <w:szCs w:val="32"/>
        </w:rPr>
      </w:pPr>
      <w:r>
        <w:rPr>
          <w:rStyle w:val="10"/>
          <w:rFonts w:hint="eastAsia" w:ascii="仿宋_GB2312" w:hAnsi="宋体" w:eastAsia="仿宋_GB2312"/>
          <w:kern w:val="0"/>
          <w:sz w:val="32"/>
          <w:szCs w:val="32"/>
        </w:rPr>
        <w:t>内容和办法</w:t>
      </w:r>
      <w:r>
        <w:rPr>
          <w:rStyle w:val="10"/>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一、重要意义</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（一）党的十八大以来，党中央把社会保障体系建设摆上更加突出的位置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习近平总书记在十九届中央政治局第二十八次集体学习时强调：社会保障是保障和改善民生、维护社会公平、增进人民福祉的基本制度保障，是促进经济社会发展、实现广大人民群众共享改革发展成果的重要制度安排，发挥着民生保障安全网、收入分配调节器、经济运行减震器的作用，是治国安邦的大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目前，我国以社会保险为主体，包括社会救助、社会福利、社会优抚等制度在内，功能完备的社会保障体系基本建成，基本医疗保险覆盖13.6亿人，基本养老保险覆盖近10亿人，是世界上规模最大的社会保障体系。</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（二）党中央、国务院将社会保障体系建设列入乡村振兴战略规划</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中共中央、国务院印发了《乡村振兴战略规划（2018—2022年）》，第九篇章“保障和改善农村民生”，强调坚持人人尽责、人人享有，围绕农民群众最关心最直接最现实的利益问题，加快补齐农村民生短板，提高农村美好生活保障水平，有更多实实在在的获得感、幸福感、安全感。提出加强农村社会保障体系建设，按照兜底线、织密网、建机制的要求，全面建成覆盖全民、城乡统筹、权责清晰、保障适度、可持续的多层次社会保障体系。</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（三）社会保障是最基本的民生工程</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党的十九届五中全会明确了“十四五”时期我国社会保障事业发展的蓝图。提出要树立战略眼光，顺应人民对高品质生活的期待，适应人的全面发展和全体人民共同富裕的进程，不断推动幼有所育、学有所教、劳有所得、病有所医、老有所养、住有所居、弱有所扶取得新进展。</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习近平总书记指出：“江山就是人民、人民就是江山，打江山、守江山，守的是人民的心。”党中央将社会保障建设作为惠及民生福祉工作来抓，作为基本民生工程。《中华人民共和国社会保险法》，对于建立覆盖城乡居民的社会保障体系，更好地维护公民参加社会保险和享受社会保障待遇的合法权益等具有十分重要的意义。要求县级以上人民政府将社会保险事业纳入国民经济和社会发展规划。</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二、当下存在的问题表现</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国家建立基本养老保险、基本医疗保险、工伤保险、失业保险、生育保险等社会保险制度，保障公民在年老、疾病、工伤、失业、生育等情况下依法从国家和社会获得物质帮助的权利。而保费的征缴情况，直接决定着城乡居民能否正常享受各项社会保障政策。</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在征缴的五个险种中，城乡居民养老保险和城乡居民医疗保险（简称城乡两险）惠及面最广。据统计，2021年黔东南州城乡居民养老保险惠及全州138万余人，城乡居民医疗保险惠及全州420万余人。州委、州政府高度重视社保险的征收工作，印发了《关于进一步明确社会保险费征管职责划转后各级各部门职责通知》，建构起“政府主导、各乡镇集中代收、相关部门相互配合”的征缴体系，并运用绩效指挥棒层层签订责任状。但在具体工作中，城乡两险的征收工作仍存在以下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重视程度不够。虽然城乡养老保险和城乡医疗保险已实现“网上办”、“掌上办”，但由于受文化素质等因素限制，多数县域、乡镇仍采取集中代收代缴的方式进行申报缴费。该征缴方式征缴进度很大程序上取决于当地政府的重视程度。一是在城乡两险征缴期限内，重视程度决定征缴工作完成情况。重视该项工作的地区，城居民参保积极性高、参保率高；不重视的则城乡居民参保积极性低、参保率低。二是总体上全年征缴进度较缓。很多县（市）、乡镇平时入库比例较低，大量征缴工作积压到年底突击，工作压力大。比如:截止2021年11月底，离2021年养老保险征期即将结束只剩短短一个月时间，全州16个县（市）平均缴费率仅为62.93%，只有1个县进度超80%，低的县仅达30%。在一定程度上给群众享受保障政策造成风险。</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宣传引导不到位。近年来城乡居民社保惠民政策变化大，例如城乡居民养老保险当年缴费人员，政府额外补贴缴费额的10%，养老保险缴费分为不同档次，多缴多得；2022年城乡医疗缴费金额为900元，在集中征缴期间缴费个人支付320元，国家补贴580元，个人支付仅占总额度的35.55%等。同时，为巩固脱贫成果，脱贫攻坚与乡村振兴有效衔接，脱贫不脱政策，贫困户自缴费比例和金额较小。缴社保征缴日常工作，以催收催缴费款为主，社保政策宣传极少，由于宣传不到位，许多城乡居民:一是仅知晓每年的城乡两险个人缴费金额逐年提升，而对于国家提高补贴金额部分并不知悉，二是对已脱贫户仍缴较少保费有意见，导致缴费意愿不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三）机制运行不够顺畅。当前，虽然明确了政府、人社、医保、税务等部门职责，建立起了统筹推进征缴工作协作机制，从州委、州政府层层传导压力。来去一阵风，重部署、轻落实的情况仍然存在。有时部门之间协作配合也不够，机制还行还不够顺畅。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为满足人民对美好生活的向往，更好巩固脱贫攻坚成果，实现养老、医疗等民生福祉攻坚战。针对城乡两险涉及群体体量大，农村人口占比高，人员身体素质、文化层次参差不齐等情况，结合我州实际，建议从以下方面加强城乡两险的征收工作：</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一、城乡两险征缴工作纳入县（市）、乡镇及各部门一把手工程。在“政府主导、乡镇集中代收、相关部门相互配合”的征缴模式下，建议将城乡两险征缴工作作为一把手工程长抓不懈，作为衡量干部是否讲政治、心系群众的尺度，并干部与职级运行、评先选优、提拔重用等工作挂钩。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定期督促通报征缴进度。提前谋划，按月下达组织征缴任务，目下达到乡镇，工作任务细化到村，并于次月通报进度，及时进行调度，确保稳步有序推进，避免任务积压到年终突击。使城乡居民基本养老保险政策和城乡医疗保险家喻户晓、深入民心，引导广大城乡居民积极参保，让居民老有所养、病有所医，惠及民生福祉的工程不能落下任何一个人。</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三、创新宣传方式重点加强对农村缴费群体的政策宣传引导。建议社会保障部门、医疗部门、税务等部门加强日常工作的宣传辅导，各乡镇、村两委通过QQ群、微信群、抖音小视频等形式，向农村年轻群体进行政策推送，对老年人不方便使用现代信息技术的情况则通过宣传栏、村广播定期播放宣传政策:一是对社会保险的个人缴费部分和国家补贴缴费部分政策做重点宣传。让广大群众知晓居民医保制度处建设完善过程中，筹资标准合理调整主要用于提高参保群众待遇水平，在保障普通门诊、住院报销、慢特病门诊以及纳入报销的药品种类和报销比例等方面大幅调整和提高。二是针对农村非贫困户大力乡村振兴有关惠民政策宣传，争取这部分群体对脱贫户过渡期“脱贫不脱政策”理解和支持。三是抓住春节等农民工返乡高峰期宣传政策。乡镇、村有针对性开展工作，提升政策知晓度，清缴保费入库，避免应未入保、漏保致贫、返贫。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四、针对现医保费逐年增加，部分群众反映缴费压力大的情况，建议参照养老保险缴费办法，制定分档缴费标准，由群众自己选择缴费的档次额度并享受对应待遇。</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0"/>
          <w:rFonts w:hint="eastAsia" w:ascii="仿宋" w:hAnsi="仿宋" w:eastAsia="仿宋" w:cs="仿宋"/>
          <w:kern w:val="0"/>
          <w:sz w:val="32"/>
          <w:szCs w:val="32"/>
          <w:lang w:val="en-US" w:eastAsia="zh-CN"/>
        </w:rPr>
      </w:pPr>
      <w:r>
        <w:rPr>
          <w:rStyle w:val="10"/>
          <w:rFonts w:hint="eastAsia" w:ascii="黑体" w:hAnsi="黑体" w:eastAsia="黑体" w:cs="黑体"/>
          <w:b/>
          <w:bCs/>
          <w:kern w:val="0"/>
          <w:sz w:val="32"/>
          <w:szCs w:val="32"/>
          <w:lang w:val="en-US" w:eastAsia="zh-CN"/>
        </w:rPr>
        <w:t>注：</w:t>
      </w:r>
      <w:r>
        <w:rPr>
          <w:rStyle w:val="10"/>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0"/>
          <w:rFonts w:hint="default" w:ascii="仿宋" w:hAnsi="仿宋" w:eastAsia="仿宋" w:cs="仿宋"/>
          <w:kern w:val="0"/>
          <w:sz w:val="32"/>
          <w:szCs w:val="32"/>
          <w:lang w:val="en-US" w:eastAsia="zh-CN"/>
        </w:rPr>
      </w:pPr>
      <w:r>
        <w:rPr>
          <w:rStyle w:val="10"/>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2C83B62"/>
    <w:rsid w:val="14FB1B14"/>
    <w:rsid w:val="169647CD"/>
    <w:rsid w:val="18EC1E64"/>
    <w:rsid w:val="1A917DD9"/>
    <w:rsid w:val="1BAB45FA"/>
    <w:rsid w:val="1C3D0309"/>
    <w:rsid w:val="20790890"/>
    <w:rsid w:val="21EA0B57"/>
    <w:rsid w:val="255649A8"/>
    <w:rsid w:val="278B5D37"/>
    <w:rsid w:val="29EB237C"/>
    <w:rsid w:val="2FD84B80"/>
    <w:rsid w:val="30B878C9"/>
    <w:rsid w:val="33552650"/>
    <w:rsid w:val="351E4FD3"/>
    <w:rsid w:val="377737A4"/>
    <w:rsid w:val="38512AAE"/>
    <w:rsid w:val="38D60616"/>
    <w:rsid w:val="38E6072A"/>
    <w:rsid w:val="3A7B4D73"/>
    <w:rsid w:val="3F1A5C90"/>
    <w:rsid w:val="42F10C9F"/>
    <w:rsid w:val="43953D03"/>
    <w:rsid w:val="470F7444"/>
    <w:rsid w:val="4A196944"/>
    <w:rsid w:val="4F6B5D70"/>
    <w:rsid w:val="507F065A"/>
    <w:rsid w:val="51B406C1"/>
    <w:rsid w:val="52263247"/>
    <w:rsid w:val="5236789E"/>
    <w:rsid w:val="559F1A55"/>
    <w:rsid w:val="58167D2D"/>
    <w:rsid w:val="5902530C"/>
    <w:rsid w:val="5A7C34BF"/>
    <w:rsid w:val="5AA17385"/>
    <w:rsid w:val="5B55151A"/>
    <w:rsid w:val="5B7C24C8"/>
    <w:rsid w:val="5C342431"/>
    <w:rsid w:val="5FDA608F"/>
    <w:rsid w:val="617E5CD0"/>
    <w:rsid w:val="61895CCF"/>
    <w:rsid w:val="61C325AD"/>
    <w:rsid w:val="62384D4B"/>
    <w:rsid w:val="64010D57"/>
    <w:rsid w:val="66F35DD9"/>
    <w:rsid w:val="6854075C"/>
    <w:rsid w:val="69A37ABB"/>
    <w:rsid w:val="6A9524E1"/>
    <w:rsid w:val="6AA44A20"/>
    <w:rsid w:val="72DD7FCC"/>
    <w:rsid w:val="73746A5F"/>
    <w:rsid w:val="77DC05AA"/>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1"/>
    <w:qFormat/>
    <w:uiPriority w:val="0"/>
    <w:pPr>
      <w:ind w:firstLine="200"/>
    </w:p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7</Pages>
  <Words>3013</Words>
  <Characters>3109</Characters>
  <Lines>14</Lines>
  <Paragraphs>4</Paragraphs>
  <TotalTime>2</TotalTime>
  <ScaleCrop>false</ScaleCrop>
  <LinksUpToDate>false</LinksUpToDate>
  <CharactersWithSpaces>3188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2022-01-08T05:46:00Z</cp:lastPrinted>
  <dcterms:modified xsi:type="dcterms:W3CDTF">2022-03-29T06:42:43Z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