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121</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类别：经济建设类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hint="eastAsia" w:ascii="宋体" w:hAnsi="宋体" w:cs="宋体" w:eastAsiaTheme="minorEastAsia"/>
                <w:b/>
                <w:bCs/>
                <w:kern w:val="0"/>
                <w:sz w:val="24"/>
                <w:lang w:eastAsia="zh-CN"/>
              </w:rPr>
            </w:pPr>
            <w:r>
              <w:rPr>
                <w:rStyle w:val="9"/>
                <w:rFonts w:hint="eastAsia" w:ascii="宋体" w:hAnsi="宋体" w:cs="宋体" w:eastAsiaTheme="minorEastAsia"/>
                <w:b/>
                <w:bCs/>
                <w:kern w:val="0"/>
                <w:sz w:val="24"/>
              </w:rPr>
              <w:t>关于用好绿色资源推动绿色产业高质量发展的</w:t>
            </w:r>
            <w:r>
              <w:rPr>
                <w:rStyle w:val="9"/>
                <w:rFonts w:hint="eastAsia" w:ascii="宋体" w:hAnsi="宋体" w:cs="宋体" w:eastAsiaTheme="minorEastAsia"/>
                <w:b/>
                <w:bCs/>
                <w:kern w:val="0"/>
                <w:sz w:val="24"/>
                <w:lang w:val="en-US" w:eastAsia="zh-CN"/>
              </w:rPr>
              <w:t>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州金融办  会办：州人行、黔东南银保监分局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ascii="宋体" w:hAnsi="宋体"/>
                <w:kern w:val="0"/>
                <w:sz w:val="24"/>
              </w:rPr>
            </w:pPr>
            <w:r>
              <w:rPr>
                <w:rStyle w:val="9"/>
                <w:rFonts w:hint="eastAsia" w:ascii="宋体" w:hAnsi="宋体"/>
                <w:kern w:val="0"/>
                <w:sz w:val="24"/>
              </w:rPr>
              <w:t>罗发权</w:t>
            </w:r>
          </w:p>
        </w:tc>
        <w:tc>
          <w:tcPr>
            <w:tcW w:w="3872" w:type="dxa"/>
            <w:vAlign w:val="center"/>
          </w:tcPr>
          <w:p>
            <w:pPr>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锦屏县农村信用合作联社基础建设部</w:t>
            </w:r>
          </w:p>
        </w:tc>
        <w:tc>
          <w:tcPr>
            <w:tcW w:w="1440" w:type="dxa"/>
            <w:vAlign w:val="center"/>
          </w:tcPr>
          <w:p>
            <w:pPr>
              <w:jc w:val="left"/>
              <w:rPr>
                <w:rStyle w:val="9"/>
                <w:rFonts w:hint="eastAsia" w:ascii="宋体" w:hAnsi="宋体" w:eastAsia="宋体"/>
                <w:kern w:val="0"/>
                <w:sz w:val="24"/>
                <w:lang w:eastAsia="zh-CN"/>
              </w:rPr>
            </w:pPr>
            <w:r>
              <w:rPr>
                <w:rStyle w:val="9"/>
                <w:rFonts w:hint="eastAsia" w:ascii="宋体" w:hAnsi="宋体"/>
                <w:kern w:val="0"/>
                <w:sz w:val="24"/>
              </w:rPr>
              <w:t>55670</w:t>
            </w:r>
            <w:r>
              <w:rPr>
                <w:rStyle w:val="9"/>
                <w:rFonts w:hint="eastAsia" w:ascii="宋体" w:hAnsi="宋体"/>
                <w:kern w:val="0"/>
                <w:sz w:val="24"/>
                <w:lang w:val="en-US" w:eastAsia="zh-CN"/>
              </w:rPr>
              <w:t>2</w:t>
            </w:r>
          </w:p>
        </w:tc>
        <w:tc>
          <w:tcPr>
            <w:tcW w:w="1485" w:type="dxa"/>
            <w:vAlign w:val="center"/>
          </w:tcPr>
          <w:p>
            <w:pPr>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15085258676</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2021年2月3日至5日，习近平总书记到贵州视察时强调，优良生态环境是贵州最大的发展优势和竞争优势。深刻领会、坚决落实习近平总书记关于“持之以恒推进生态文明建设”的重要指示，要牢固树立生态优先、绿色发展的导向，统筹山水林田湖草系统治理，加大生态系统保护力度，科学推进石漠化、水土流失综合治理，不断做好绿水青山就是金山银山这篇大文章。黔东南州山川秀丽、绿色资源天赋异禀，在围绕“四新”主攻“四化”的高质量发展新阶段，坚持走好生态优先、绿色发展之路，是黔东南州立足新发展阶段、贯彻新发展理念、构建新发展格局的必然要求。</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存在问题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一是绿色产业政策引导上未发力，绿色信贷政策保障上未建立、绿色金融服务体系尚未健全和绿色金融税收优惠政策上未完善，尤其是绿色信贷投放力度不强，助力全省绿色经济高质量发展的成效不明显。二是绿色金融供给端与需求端匹配度不高，现有的绿色信贷产品不能有效满足乡村振兴和现代农业发展资金需求大额化、资金周转长期化的需求。三是绿色经济信用环境建设不够有力。绿色经济行业信用信息采集和更新难，信用信息共享机制有待健全，缺乏统一有公信力的信用数据管理平台。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注重宣传引导，强化绿色政策宣传引导。在国家“大生态”政策和“十四五”规划指引下，以绿色为导向的产业发展迎来了快速发展期，围绕碳中和、碳达峰战略，各级各部门应加大绿色发展政策的宣传力度，构建持续、高效、快捷、准确的绿色评价体系，逐步将绿色指标纳入企业健康生产发展，强化金融机构信贷政策支持，提高企业对绿色资源、绿色产业的重视。</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注重完善体系，健全绿色金融服务体系。针对当前绿色产业发展，要以围绕绿色产业高质量发展为核心，进一步建立健全绿色金融服务体系。在信贷资金上重点向绿色产业倾斜，确保绿色企业最大限度获得绿色金融资金支持。建立和培育绿色金融管理人才队伍，以准确、高效的方式推动金融机构服务逐步向绿色发展转变。抵押担保上创新担保方式，探索拓宽绿色资源抵押担保，真正将资源优势转化成发展优势，“绿水青山”转变成“金山银山”，助推贵州绿色产业不断发展壮大。</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 三、注重建章立制，建立绿色发展保障机制。在发展绿色产业上，建议州政府从政策顶层设计上，考虑建立绿色发展资金池，为绿色信贷、绿色债券等企业融资提供担保，帮助企业降低融资成本。同时，建议州政府考虑建立金融机构绿色信贷风险补偿机制，从风险补偿金上、监管政策不良容忍度上、央行再贷款政策支持上、专项绿色信贷税收优惠上给予绿色金融机构支持与激励，通过政府政策驱动，进一步激发金融机构对绿色产业发展的信心和决心。同时，注重发挥金融机构、政府部门、中介组织合力，共同征集、整合农村基础信用信息，实现信息实时传递和即时共享，持续优化绿色经济行业领域信贷环境。</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10B40BCC"/>
    <w:rsid w:val="118823F2"/>
    <w:rsid w:val="11CD2F75"/>
    <w:rsid w:val="18EC1E64"/>
    <w:rsid w:val="1A917DD9"/>
    <w:rsid w:val="1BAB45FA"/>
    <w:rsid w:val="21EA0B57"/>
    <w:rsid w:val="29EB237C"/>
    <w:rsid w:val="2FD84B80"/>
    <w:rsid w:val="30B878C9"/>
    <w:rsid w:val="33552650"/>
    <w:rsid w:val="377737A4"/>
    <w:rsid w:val="38D60616"/>
    <w:rsid w:val="38E6072A"/>
    <w:rsid w:val="3A7B4D73"/>
    <w:rsid w:val="3F1A5C90"/>
    <w:rsid w:val="40EA2BB8"/>
    <w:rsid w:val="42F10C9F"/>
    <w:rsid w:val="43953D03"/>
    <w:rsid w:val="4A196944"/>
    <w:rsid w:val="4F6B5D70"/>
    <w:rsid w:val="507F065A"/>
    <w:rsid w:val="52263247"/>
    <w:rsid w:val="5236789E"/>
    <w:rsid w:val="559F1A55"/>
    <w:rsid w:val="58167D2D"/>
    <w:rsid w:val="5A7C34BF"/>
    <w:rsid w:val="5AA17385"/>
    <w:rsid w:val="5B7C24C8"/>
    <w:rsid w:val="5C342431"/>
    <w:rsid w:val="61895CCF"/>
    <w:rsid w:val="61C325AD"/>
    <w:rsid w:val="62384D4B"/>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2021-02-26T02:55:00Z</cp:lastPrinted>
  <dcterms:modified xsi:type="dcterms:W3CDTF">2022-03-29T06:40:31Z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